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6" w:type="dxa"/>
        <w:tblLook w:val="04A0" w:firstRow="1" w:lastRow="0" w:firstColumn="1" w:lastColumn="0" w:noHBand="0" w:noVBand="1"/>
      </w:tblPr>
      <w:tblGrid>
        <w:gridCol w:w="15136"/>
        <w:gridCol w:w="222"/>
        <w:gridCol w:w="222"/>
        <w:gridCol w:w="222"/>
        <w:gridCol w:w="222"/>
        <w:gridCol w:w="222"/>
      </w:tblGrid>
      <w:tr w:rsidR="00892A2F" w:rsidRPr="00892A2F" w:rsidTr="00952467">
        <w:trPr>
          <w:trHeight w:val="458"/>
        </w:trPr>
        <w:tc>
          <w:tcPr>
            <w:tcW w:w="15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9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4"/>
              <w:gridCol w:w="6824"/>
            </w:tblGrid>
            <w:tr w:rsidR="00892A2F" w:rsidRPr="00892A2F" w:rsidTr="00892A2F">
              <w:tc>
                <w:tcPr>
                  <w:tcW w:w="8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0E7AA7" w:rsidRPr="00386AB9" w:rsidRDefault="00892A2F" w:rsidP="000E7A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z748"/>
                  <w:bookmarkEnd w:id="0"/>
                  <w:r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  <w:r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0E7AA7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иректор </w:t>
                  </w:r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ГКП на ПХВ «Городская поликлиника №10» </w:t>
                  </w:r>
                  <w:proofErr w:type="spellStart"/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акимата</w:t>
                  </w:r>
                  <w:proofErr w:type="spellEnd"/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города </w:t>
                  </w:r>
                  <w:proofErr w:type="spellStart"/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Нур</w:t>
                  </w:r>
                  <w:proofErr w:type="spellEnd"/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-Султан</w:t>
                  </w:r>
                </w:p>
                <w:p w:rsidR="00386AB9" w:rsidRDefault="00386AB9" w:rsidP="00386A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Касымова</w:t>
                  </w:r>
                  <w:proofErr w:type="spellEnd"/>
                  <w:r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А.К.</w:t>
                  </w:r>
                  <w:r w:rsidR="00892A2F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86AB9" w:rsidRPr="00386AB9" w:rsidRDefault="00892A2F" w:rsidP="00386A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_______</w:t>
                  </w:r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892A2F" w:rsidRPr="00892A2F" w:rsidRDefault="000E7AA7" w:rsidP="00386A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"</w:t>
                  </w:r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  <w:r w:rsidR="00892A2F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r w:rsidR="001129F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86AB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  <w:r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1129F9"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386A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892A2F" w:rsidRDefault="00892A2F" w:rsidP="0074375B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375B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  <w:p w:rsidR="00386AB9" w:rsidRDefault="00386AB9" w:rsidP="0074375B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259"/>
              <w:gridCol w:w="455"/>
              <w:gridCol w:w="2373"/>
              <w:gridCol w:w="8080"/>
              <w:gridCol w:w="1270"/>
            </w:tblGrid>
            <w:tr w:rsidR="00892A2F" w:rsidRPr="00892A2F" w:rsidTr="00B617EB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Критерии</w:t>
                  </w: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Описание</w:t>
                  </w:r>
                </w:p>
              </w:tc>
            </w:tr>
            <w:tr w:rsidR="00892A2F" w:rsidRPr="00892A2F" w:rsidTr="00B617EB">
              <w:trPr>
                <w:trHeight w:val="1368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Наименование медицинской </w:t>
                  </w:r>
                  <w:r w:rsidR="00EB37C1" w:rsidRPr="0074375B">
                    <w:rPr>
                      <w:rFonts w:ascii="Times New Roman" w:hAnsi="Times New Roman" w:cs="Times New Roman"/>
                      <w:lang w:eastAsia="ru-RU"/>
                    </w:rPr>
                    <w:t>техники (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в соответствии с государственным реестром медицинских изделий с указанием модели, наименования производителя, страны)</w:t>
                  </w: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6AB9" w:rsidRPr="0074375B" w:rsidRDefault="00C43027" w:rsidP="00386AB9">
                  <w:pPr>
                    <w:pStyle w:val="Defaul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  <w:t>КОМПЬЮТЕРНЫЙ ТОНОМЕТР</w:t>
                  </w:r>
                </w:p>
                <w:p w:rsidR="00892A2F" w:rsidRPr="0074375B" w:rsidRDefault="00892A2F" w:rsidP="001129F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892A2F" w:rsidRPr="00892A2F" w:rsidTr="00B617EB"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Требования к комплектации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EB37C1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37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Наименование комплектующего к медицинской технике (в соответствии с государственным реестром медицинских изделий)</w:t>
                  </w: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Модель и (или) марка, каталожный номер, краткая техническая характеристика комплектующего к медицинской технике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Требуемое </w:t>
                  </w:r>
                  <w:r w:rsidR="00EB37C1" w:rsidRPr="0074375B">
                    <w:rPr>
                      <w:rFonts w:ascii="Times New Roman" w:hAnsi="Times New Roman" w:cs="Times New Roman"/>
                      <w:lang w:eastAsia="ru-RU"/>
                    </w:rPr>
                    <w:t>количество (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с указанием единицы измерения)</w:t>
                  </w:r>
                </w:p>
              </w:tc>
            </w:tr>
            <w:tr w:rsidR="00892A2F" w:rsidRPr="00892A2F" w:rsidTr="00B617EB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Основные комплектующие</w:t>
                  </w:r>
                </w:p>
              </w:tc>
            </w:tr>
            <w:tr w:rsidR="00892A2F" w:rsidRPr="00892A2F" w:rsidTr="00B617EB">
              <w:trPr>
                <w:trHeight w:val="130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B617EB" w:rsidRDefault="00B617EB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  <w:r w:rsidRPr="00B617E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237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FD3C04" w:rsidRDefault="00B617EB" w:rsidP="00386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FD3C04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Компьютерный Тонометр</w:t>
                  </w: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0E7AA7" w:rsidRDefault="00B617EB" w:rsidP="00B617E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Компьютерный тонометр </w:t>
                  </w:r>
                  <w:r w:rsidR="00CB51D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kk-KZ"/>
                    </w:rPr>
                    <w:t>создан</w:t>
                  </w: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для измерения внутриглазного давления, бесконтактным способом, в основе которого лежит уплощение роговицы потоком воздуха. Компьютерный </w:t>
                  </w:r>
                  <w:proofErr w:type="spellStart"/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пневмотонометр</w:t>
                  </w:r>
                  <w:proofErr w:type="spellEnd"/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оснащен всеми необходимыми функциями для </w:t>
                  </w:r>
                  <w:proofErr w:type="spellStart"/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комфориной</w:t>
                  </w:r>
                  <w:proofErr w:type="spellEnd"/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работы врача. Режим </w:t>
                  </w:r>
                  <w:proofErr w:type="spellStart"/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AutoShoot</w:t>
                  </w:r>
                  <w:proofErr w:type="spellEnd"/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обеспечивает автоматическое начало измерение ВГД после фокусировки на зрачке пациента. Компьютерный </w:t>
                  </w:r>
                  <w:proofErr w:type="spellStart"/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Пневмотонометр</w:t>
                  </w:r>
                  <w:proofErr w:type="spellEnd"/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предоставляет точные данные ВГД вне зависимости от атмосферного давления. Более того, данные ВГД можно скорректировать в зависимости от результатов измерения толщины роговицы пациента. Компьютерный </w:t>
                  </w:r>
                  <w:proofErr w:type="spellStart"/>
                  <w:r w:rsidR="00386AB9"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танометр</w:t>
                  </w:r>
                  <w:proofErr w:type="spellEnd"/>
                  <w:r w:rsidR="00386AB9"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измеряет</w:t>
                  </w: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ВГД мягким воздушным потоком, уменьшая </w:t>
                  </w: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стресс пациента от обследования. Широкий 8,5-дюймовый сенсорный экран обеспечивает управление всеми функциями тонометра одним касанием пальца.</w:t>
                  </w:r>
                </w:p>
                <w:p w:rsidR="000E7AA7" w:rsidRDefault="000E7AA7" w:rsidP="00B617E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B617EB" w:rsidRPr="00B617EB" w:rsidRDefault="00B617EB" w:rsidP="00B617E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Компьютерный </w:t>
                  </w:r>
                  <w:proofErr w:type="spellStart"/>
                  <w:r w:rsidR="00386AB9"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танометр</w:t>
                  </w:r>
                  <w:proofErr w:type="spellEnd"/>
                  <w:r w:rsidR="00386AB9"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имеет</w:t>
                  </w: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режим измерения ВГД у пациентов с имплантированной ИОЛ. </w:t>
                  </w:r>
                </w:p>
                <w:p w:rsidR="000E7AA7" w:rsidRPr="00B617EB" w:rsidRDefault="000E7AA7" w:rsidP="000E7A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Измерение внутриглазного давления </w:t>
                  </w:r>
                  <w:r w:rsidR="00386AB9"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от</w:t>
                  </w: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 до 60 мм рт. ст. (шаг 1 мм рт. ст.)</w:t>
                  </w:r>
                </w:p>
                <w:p w:rsidR="000E7AA7" w:rsidRPr="00B617EB" w:rsidRDefault="000E7AA7" w:rsidP="000E7A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Диапазон измерения Среднее значение: изменяемый шаг 1/0,1 мм рт. ст.</w:t>
                  </w:r>
                </w:p>
                <w:p w:rsidR="000E7AA7" w:rsidRPr="00B617EB" w:rsidRDefault="000E7AA7" w:rsidP="000E7A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Режим измерения 1-30 мм рт. ст. / 1-60 мм рт. ст.</w:t>
                  </w:r>
                </w:p>
                <w:p w:rsidR="000E7AA7" w:rsidRPr="00B617EB" w:rsidRDefault="000E7AA7" w:rsidP="000E7A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Монитор 8,5-дюймовый цветной WVGA ЖК-монитор, сенсорная панель</w:t>
                  </w:r>
                </w:p>
                <w:p w:rsidR="000E7AA7" w:rsidRPr="00B617EB" w:rsidRDefault="000E7AA7" w:rsidP="000E7A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Размеры 317~341 мм (Ш) x 521~538 мм (Г) x 437~467 мм (В)</w:t>
                  </w:r>
                </w:p>
                <w:p w:rsidR="000E7AA7" w:rsidRDefault="000E7AA7" w:rsidP="000E7A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17E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Вес 14 кг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Минимальный порог измерения давления, </w:t>
                  </w:r>
                  <w:proofErr w:type="spellStart"/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мм.рт.ст</w:t>
                  </w:r>
                  <w:proofErr w:type="spellEnd"/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  <w:t>1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Максимальный порог измерения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давления,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мм.рт.мт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>. 60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Рабочая дистанция в диапазоне, мм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  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 11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Автоматическое распознавание </w:t>
                  </w:r>
                  <w:proofErr w:type="spellStart"/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пневмотонометром</w:t>
                  </w:r>
                  <w:proofErr w:type="spellEnd"/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 областей оптимальных для проведения измерений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Автоматическое начало измерения ВГД после наведения измерительного сопла </w:t>
                  </w:r>
                  <w:proofErr w:type="spellStart"/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пенвмотонометра</w:t>
                  </w:r>
                  <w:proofErr w:type="spellEnd"/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 на оптимальные области исследуемого глаза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Автоматическая коррекция показаний ВГД на основании введенных значений толщины роговицы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Режим измерения с ИОЛ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Функция проверки воздушного потока перед началом работы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Индикация ошибки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Методы оповещения оператора о неправильно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м положении исследуемого глаза 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графический и текстовый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Индикация загрязнения измерительного окна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Сенсорный монитор управления функциями тонометра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Диагональ монитора управления, дюймов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  <w:t>8,5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Манипулятор н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аведения 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джойстик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Регулировка высоты подбородника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Метка положения зрачковой линии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Встроенный термопринтер 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Фиксация основания прибора в одном положении 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 xml:space="preserve">Держатель колпачка измерительного окна, расположенный в боковой части корпуса </w:t>
                  </w:r>
                  <w:proofErr w:type="spellStart"/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пневмотонометра</w:t>
                  </w:r>
                  <w:proofErr w:type="spellEnd"/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892A2F" w:rsidRPr="00B617EB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Информационный интерфейс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  <w:t xml:space="preserve">USB и </w:t>
                  </w:r>
                  <w:proofErr w:type="gramStart"/>
                  <w:r>
                    <w:rPr>
                      <w:rFonts w:ascii="Times New Roman" w:hAnsi="Times New Roman" w:cs="Times New Roman"/>
                      <w:lang w:eastAsia="ru-RU"/>
                    </w:rPr>
                    <w:t>RS232C</w:t>
                  </w:r>
                  <w:proofErr w:type="gram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и </w:t>
                  </w: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LAN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F71433" w:rsidRDefault="00B617EB" w:rsidP="00F71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1</w:t>
                  </w:r>
                  <w:r w:rsidR="00F71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F71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892A2F" w:rsidRPr="00892A2F" w:rsidTr="00B617EB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Дополнительные комплектующие</w:t>
                  </w:r>
                </w:p>
              </w:tc>
            </w:tr>
            <w:tr w:rsidR="00892A2F" w:rsidRPr="00892A2F" w:rsidTr="00B617EB">
              <w:trPr>
                <w:trHeight w:val="18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Защитный колпачок для измерительного окошка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Чехол пылезащитный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Кабель сетевого питания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Пластиковая коробка для принадлежностей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Пластиковые держатели салфеток для упора подбородка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Предохранители</w:t>
                  </w:r>
                </w:p>
                <w:p w:rsidR="00892A2F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Инструкция по эксплуатации</w:t>
                  </w:r>
                </w:p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Салфетка для протирки оптики</w:t>
                  </w:r>
                </w:p>
                <w:p w:rsidR="000E7AA7" w:rsidRPr="0074375B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Рулон термобумаги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A2F" w:rsidRPr="00892A2F" w:rsidTr="00B617EB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Расходные материалы и изнашиваемые узлы:</w:t>
                  </w:r>
                </w:p>
              </w:tc>
            </w:tr>
            <w:tr w:rsidR="00892A2F" w:rsidRPr="00892A2F" w:rsidTr="00B617EB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0E7AA7" w:rsidRPr="000E7AA7" w:rsidRDefault="000E7AA7" w:rsidP="000E7AA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Салфетка для протирки оптики</w:t>
                  </w:r>
                </w:p>
                <w:p w:rsidR="00892A2F" w:rsidRPr="00386AB9" w:rsidRDefault="000E7AA7" w:rsidP="00386AB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7AA7">
                    <w:rPr>
                      <w:rFonts w:ascii="Times New Roman" w:hAnsi="Times New Roman" w:cs="Times New Roman"/>
                      <w:lang w:eastAsia="ru-RU"/>
                    </w:rPr>
                    <w:t>Рулон термобумаги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A2F" w:rsidRPr="00892A2F" w:rsidTr="00B617EB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Требования к условиям эксплуатации</w:t>
                  </w: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D3C04" w:rsidRPr="00FD3C04" w:rsidRDefault="00FD3C04" w:rsidP="00FD3C04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>Оптимальные условия эксплуатации системы:</w:t>
                  </w:r>
                </w:p>
                <w:p w:rsidR="00FD3C04" w:rsidRPr="00FD3C04" w:rsidRDefault="00FD3C04" w:rsidP="00FD3C04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>Температура окружающей среды 15–35 °C при влажности 20–80 %;</w:t>
                  </w:r>
                </w:p>
                <w:p w:rsidR="00892A2F" w:rsidRPr="0074375B" w:rsidRDefault="00FD3C04" w:rsidP="00EB37C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 xml:space="preserve">Электроснабжение </w:t>
                  </w:r>
                  <w:r w:rsidR="000E7AA7" w:rsidRPr="00B617EB">
                    <w:rPr>
                      <w:rFonts w:ascii="Times New Roman" w:hAnsi="Times New Roman" w:cs="Times New Roman"/>
                    </w:rPr>
                    <w:t xml:space="preserve">Источник питания 100-240В </w:t>
                  </w:r>
                  <w:proofErr w:type="spellStart"/>
                  <w:r w:rsidR="000E7AA7" w:rsidRPr="00B617EB">
                    <w:rPr>
                      <w:rFonts w:ascii="Times New Roman" w:hAnsi="Times New Roman" w:cs="Times New Roman"/>
                    </w:rPr>
                    <w:t>перем</w:t>
                  </w:r>
                  <w:proofErr w:type="spellEnd"/>
                  <w:r w:rsidR="000E7AA7" w:rsidRPr="00B617EB">
                    <w:rPr>
                      <w:rFonts w:ascii="Times New Roman" w:hAnsi="Times New Roman" w:cs="Times New Roman"/>
                    </w:rPr>
                    <w:t>. тока, 50-60 Гц, 30-70 ВА</w:t>
                  </w:r>
                </w:p>
              </w:tc>
            </w:tr>
            <w:tr w:rsidR="00892A2F" w:rsidRPr="00892A2F" w:rsidTr="00FD3C04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Условия осуществления поставки медицинской техники (в соответствии с ИНКОТЕРМС 2010)</w:t>
                  </w: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386AB9" w:rsidRPr="00386AB9" w:rsidRDefault="00386AB9" w:rsidP="00386A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6AB9">
                    <w:rPr>
                      <w:rFonts w:ascii="Times New Roman" w:hAnsi="Times New Roman" w:cs="Times New Roman"/>
                    </w:rPr>
                    <w:t>DDP пункт назначения</w:t>
                  </w:r>
                </w:p>
                <w:p w:rsidR="00892A2F" w:rsidRPr="0074375B" w:rsidRDefault="00386AB9" w:rsidP="00386A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86AB9">
                    <w:rPr>
                      <w:rFonts w:ascii="Times New Roman" w:hAnsi="Times New Roman" w:cs="Times New Roman"/>
                    </w:rPr>
                    <w:t>(ГКП на ПХВ «Городская поликлиника №10»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акимата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города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-Султан</w:t>
                  </w:r>
                  <w:r w:rsidRPr="00386AB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892A2F" w:rsidRPr="00892A2F" w:rsidTr="00FD3C04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Срок поставки медицинской техники и место дислокации</w:t>
                  </w: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92A2F" w:rsidRPr="0074375B" w:rsidRDefault="00FD3C04" w:rsidP="00FD3C04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86AB9">
                    <w:rPr>
                      <w:rFonts w:ascii="Times New Roman" w:hAnsi="Times New Roman" w:cs="Times New Roman"/>
                      <w:lang w:eastAsia="ru-RU"/>
                    </w:rPr>
                    <w:t xml:space="preserve">90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календарных дней</w:t>
                  </w:r>
                  <w:r w:rsidR="00386AB9">
                    <w:rPr>
                      <w:rFonts w:ascii="Times New Roman" w:hAnsi="Times New Roman" w:cs="Times New Roman"/>
                      <w:lang w:eastAsia="ru-RU"/>
                    </w:rPr>
                    <w:t xml:space="preserve"> со дня заключения договора</w:t>
                  </w:r>
                </w:p>
              </w:tc>
            </w:tr>
            <w:tr w:rsidR="00892A2F" w:rsidRPr="00892A2F" w:rsidTr="00B617EB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      </w:r>
                </w:p>
              </w:tc>
              <w:tc>
                <w:tcPr>
                  <w:tcW w:w="1217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Гарантийное сервисное обслуживание медицинской техники не менее 37 месяцев.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1" w:name="z755"/>
                  <w:bookmarkEnd w:id="1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Плановое техническое обслуживание должно проводиться не реже чем 1 раз в квартал.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2" w:name="z756"/>
                  <w:bookmarkEnd w:id="2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3" w:name="z757"/>
                  <w:bookmarkEnd w:id="3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замену отработавших ресурс составных частей;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4" w:name="z758"/>
                  <w:bookmarkEnd w:id="4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замене или восстановлении отдельных частей медицинской техники;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5" w:name="z759"/>
                  <w:bookmarkEnd w:id="5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настройку и регулировку медицинской техники; специфические для данной медицинской техники работы и т.п.;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6" w:name="z760"/>
                  <w:bookmarkEnd w:id="6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чистку, смазку и при необходимости переборку основных механизмов и узлов;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7" w:name="z761"/>
                  <w:bookmarkEnd w:id="7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удаление пыли, грязи, следов коррозии и окисления с нар</w:t>
                  </w:r>
                  <w:bookmarkStart w:id="8" w:name="_GoBack"/>
                  <w:bookmarkEnd w:id="8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ужных и внутренних поверхностей корпуса медицинской техники его составных частей (с частичной </w:t>
                  </w:r>
                  <w:proofErr w:type="spellStart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блочно</w:t>
                  </w:r>
                  <w:proofErr w:type="spellEnd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-узловой разборкой);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  <w:t>- иные указанные в эксплуатационной документации операции, специфические для конкретного типа медицинской техники.</w:t>
                  </w:r>
                </w:p>
              </w:tc>
            </w:tr>
          </w:tbl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330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74375B" w:rsidRDefault="00892A2F" w:rsidP="007437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74375B">
        <w:trPr>
          <w:trHeight w:val="201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A0B" w:rsidRPr="00892A2F" w:rsidRDefault="00401A0B" w:rsidP="00952467">
      <w:pPr>
        <w:rPr>
          <w:rFonts w:ascii="Times New Roman" w:hAnsi="Times New Roman" w:cs="Times New Roman"/>
          <w:sz w:val="24"/>
          <w:szCs w:val="24"/>
        </w:rPr>
      </w:pPr>
    </w:p>
    <w:sectPr w:rsidR="00401A0B" w:rsidRPr="00892A2F" w:rsidSect="00EB37C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F"/>
    <w:rsid w:val="000E7AA7"/>
    <w:rsid w:val="001129F9"/>
    <w:rsid w:val="00386AB9"/>
    <w:rsid w:val="00401A0B"/>
    <w:rsid w:val="00672424"/>
    <w:rsid w:val="0074375B"/>
    <w:rsid w:val="00892A2F"/>
    <w:rsid w:val="00952467"/>
    <w:rsid w:val="009A0B2F"/>
    <w:rsid w:val="00B617EB"/>
    <w:rsid w:val="00C43027"/>
    <w:rsid w:val="00CB51DB"/>
    <w:rsid w:val="00EB37C1"/>
    <w:rsid w:val="00F71433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951A-2392-4364-9DAE-C64E908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9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Жирный"/>
    <w:uiPriority w:val="1"/>
    <w:qFormat/>
    <w:rsid w:val="0074375B"/>
    <w:pPr>
      <w:spacing w:after="0" w:line="240" w:lineRule="auto"/>
    </w:pPr>
  </w:style>
  <w:style w:type="paragraph" w:customStyle="1" w:styleId="Default">
    <w:name w:val="Default"/>
    <w:link w:val="Default0"/>
    <w:rsid w:val="00B617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17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617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Default0">
    <w:name w:val="Default Знак"/>
    <w:link w:val="Default"/>
    <w:rsid w:val="00B617EB"/>
    <w:rPr>
      <w:rFonts w:ascii="Calibri" w:eastAsia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6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B617E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B617E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8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Морщакова</dc:creator>
  <cp:keywords/>
  <dc:description/>
  <cp:lastModifiedBy>GOSZAKUP</cp:lastModifiedBy>
  <cp:revision>18</cp:revision>
  <cp:lastPrinted>2022-09-08T10:34:00Z</cp:lastPrinted>
  <dcterms:created xsi:type="dcterms:W3CDTF">2021-02-08T08:01:00Z</dcterms:created>
  <dcterms:modified xsi:type="dcterms:W3CDTF">2022-09-08T10:35:00Z</dcterms:modified>
</cp:coreProperties>
</file>